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9500"/>
          <w:sz w:val="20"/>
          <w:szCs w:val="20"/>
        </w:rPr>
      </w:pPr>
      <w:bookmarkStart w:id="0" w:name="tree#1955"/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Legea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95/2006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privind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Reforma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domeniul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sănătății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r1, </w:t>
      </w:r>
      <w:proofErr w:type="spell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titlul</w:t>
      </w:r>
      <w:proofErr w:type="spell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>VIII :</w:t>
      </w:r>
      <w:proofErr w:type="gramEnd"/>
      <w:r>
        <w:rPr>
          <w:rFonts w:ascii="Arial" w:eastAsia="Times New Roman" w:hAnsi="Arial" w:cs="Arial"/>
          <w:b/>
          <w:bCs/>
          <w:color w:val="009500"/>
          <w:sz w:val="20"/>
          <w:szCs w:val="20"/>
        </w:rPr>
        <w:t xml:space="preserve">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9500"/>
          <w:sz w:val="20"/>
          <w:szCs w:val="20"/>
          <w:lang w:val="ro-RO"/>
        </w:rPr>
      </w:pPr>
      <w:bookmarkStart w:id="1" w:name="_GoBack"/>
      <w:bookmarkEnd w:id="1"/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552E">
        <w:rPr>
          <w:rFonts w:ascii="Arial" w:eastAsia="Times New Roman" w:hAnsi="Arial" w:cs="Arial"/>
          <w:b/>
          <w:bCs/>
          <w:color w:val="009500"/>
          <w:sz w:val="20"/>
          <w:szCs w:val="20"/>
        </w:rPr>
        <w:t>   Art. 230. -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2" w:name="tree#1956"/>
      <w:bookmarkEnd w:id="0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(1)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caz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boală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accident, din prima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zi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îmbolnăvire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la data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accidentului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până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vindecare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normele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sale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3" w:name="tree#1957"/>
      <w:bookmarkEnd w:id="2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(2)</w:t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Asiguraţii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au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următoarele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drepturi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tree#1958"/>
      <w:bookmarkEnd w:id="3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a)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aleagă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furnizorul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precum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casa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care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contractului-cadru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tree#1959"/>
      <w:bookmarkEnd w:id="4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b)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fie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înscrişi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lista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unui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familie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solicită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îndeplinesc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toate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suportând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cheltuielile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transport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opţiunea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un medic din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altă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localitate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tree#1960"/>
      <w:bookmarkEnd w:id="5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c)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schimbe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familie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ales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expirarea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cel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puţin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6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luni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la data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înscrierii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listele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acestuia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excepţia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situaţiilor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tree#1963"/>
      <w:bookmarkEnd w:id="6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d)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mod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nediscriminatoriu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tree#1964"/>
      <w:bookmarkEnd w:id="7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e)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rambursarea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tuturor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cheltuielilor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efectuate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perioada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spitalizării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medicamentele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materialele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sanitare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investigaţiile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paraclinice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care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fi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îndreptăţiţi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fără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contribuţie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personală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impuse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tree#1965"/>
      <w:bookmarkEnd w:id="8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f)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efectueze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controale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profilactice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tree#1966"/>
      <w:bookmarkEnd w:id="9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g)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asistenţă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preventivă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promovare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sănătăţii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depistarea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precoce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bolilor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tree#1967"/>
      <w:bookmarkEnd w:id="10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h)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ambulatorii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spitale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aflate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relaţie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casele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tree#1968"/>
      <w:bookmarkEnd w:id="11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proofErr w:type="spellStart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tree#1969"/>
      <w:bookmarkEnd w:id="12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j)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unele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asistenţă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stomatologică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tree#1970"/>
      <w:bookmarkEnd w:id="13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k)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tratament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fizioterapeutic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recuperare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tree#1971"/>
      <w:bookmarkEnd w:id="14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l)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dispozitive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tree#1972"/>
      <w:bookmarkEnd w:id="15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m)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îngrijiri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tree#1973"/>
      <w:bookmarkEnd w:id="16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n)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li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garanteze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confidenţialitatea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special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diagnosticul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tratamentul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tree#1974"/>
      <w:bookmarkEnd w:id="17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o)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aibă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informaţie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tratamentelor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tree#1975"/>
      <w:bookmarkEnd w:id="18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p)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beneficieze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concedii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indemnizaţii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sociale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tree#1976"/>
      <w:bookmarkEnd w:id="19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(3)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prevăzuţi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20"/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"lnk:LEG%20PRL%2080%201995%200" \o "Lege nr. 80/1995 - Parlamentul României" </w:instrTex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Start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nr</w:t>
      </w:r>
      <w:proofErr w:type="spellEnd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. </w:t>
      </w:r>
      <w:proofErr w:type="gramStart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80/1995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statutul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cadrelor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militare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tooltip="Lege nr. 360/2002 - Parlamentul României" w:history="1">
        <w:proofErr w:type="spellStart"/>
        <w:r w:rsidRPr="0017552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nr</w:t>
        </w:r>
        <w:proofErr w:type="spellEnd"/>
        <w:r w:rsidRPr="0017552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.</w:t>
        </w:r>
        <w:proofErr w:type="gramEnd"/>
        <w:r w:rsidRPr="0017552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360/2002</w:t>
        </w:r>
      </w:hyperlink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Statutul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poliţistului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asistenţă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gratuită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respectiv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medicamente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dispozitive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suportate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din fond,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contractului-cadru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bugetele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ministerelor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instituţiilor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respective,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plăţii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contribuţiei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sociale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tree#1977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(4)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Personalităţile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internaţionale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statut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demnitar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primesc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asistenţă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specialitate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unităţi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sanitare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nominalizate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ordin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ministrului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sănătăţii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2" w:name="tree#1978"/>
      <w:bookmarkEnd w:id="21"/>
      <w:r w:rsidRPr="0017552E">
        <w:rPr>
          <w:rFonts w:ascii="Arial" w:eastAsia="Times New Roman" w:hAnsi="Arial" w:cs="Arial"/>
          <w:b/>
          <w:bCs/>
          <w:color w:val="009500"/>
          <w:sz w:val="20"/>
          <w:szCs w:val="20"/>
        </w:rPr>
        <w:t>   Art. 231. -</w:t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23" w:name="tree#1979"/>
      <w:bookmarkEnd w:id="22"/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Obligaţiile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asiguraţilor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putea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beneficia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drepturile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prevăzute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la </w:t>
      </w:r>
      <w:bookmarkEnd w:id="23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begin"/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instrText xml:space="preserve"> HYPERLINK "lnk:LEG%20PRL%2095%202006%200" \o "Lege nr. 95/2006 - Parlamentul României" </w:instrText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separate"/>
      </w:r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art. 230</w:t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end"/>
      </w:r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sunt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>următoarele</w:t>
      </w:r>
      <w:proofErr w:type="spellEnd"/>
      <w:r w:rsidRPr="001755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4" w:name="tree#1980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a)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înscrie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lista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unui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familie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5" w:name="tree#1981"/>
      <w:bookmarkEnd w:id="24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b)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anunţe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familie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câte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apar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tree#1982"/>
      <w:bookmarkEnd w:id="25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c)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prezinte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controalele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profilactice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periodice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contractul-cadru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7" w:name="tree#1983"/>
      <w:bookmarkEnd w:id="26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d)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anunţe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termen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15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zile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familie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casa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referitoare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încadrarea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într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-o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anumită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categorie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asiguraţi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8" w:name="tree#1984"/>
      <w:bookmarkEnd w:id="27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e)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respecte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stricteţe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tratamentul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indicaţiile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medicului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9" w:name="tree#1985"/>
      <w:bookmarkEnd w:id="28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f)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aibă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conduită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civilizată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faţă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personalul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medico-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sanitar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0" w:name="tree#1986"/>
      <w:bookmarkEnd w:id="29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g)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achite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contribuţia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datorată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fondului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suma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reprezentând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coplata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contribuţia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personală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1" w:name="tree#1987"/>
      <w:bookmarkEnd w:id="30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h)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prezinte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furnizorilor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justificative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atestă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calitatea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definite la art. </w:t>
      </w:r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223 </w:t>
      </w:r>
      <w:bookmarkEnd w:id="31"/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"lnk:LEG%20PRL%2095%202006%200" \o "Lege nr. 95/2006 - Parlamentul României" </w:instrTex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Start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alin</w:t>
      </w:r>
      <w:proofErr w:type="spellEnd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.</w:t>
      </w:r>
      <w:proofErr w:type="gramEnd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 (1)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2" w:name="tree#1988"/>
      <w:r w:rsidRPr="0017552E">
        <w:rPr>
          <w:rFonts w:ascii="Arial" w:eastAsia="Times New Roman" w:hAnsi="Arial" w:cs="Arial"/>
          <w:b/>
          <w:bCs/>
          <w:color w:val="009500"/>
          <w:sz w:val="20"/>
          <w:szCs w:val="20"/>
        </w:rPr>
        <w:t>   Art. 232. -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33" w:name="tree#1989"/>
      <w:bookmarkEnd w:id="32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(1)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Persoanele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nu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fac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dovada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calităţii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cadrul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unui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pachet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minimal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lege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4" w:name="tree#1990"/>
      <w:bookmarkEnd w:id="33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(2)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persoanele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au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(1),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furnizorii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medicale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obligaţi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comunice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CNAS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identificare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acestora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5" w:name="tree#1991"/>
      <w:bookmarkEnd w:id="34"/>
      <w:r w:rsidRPr="0017552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(3)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CNAS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comunică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ANAF,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trimestrial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protocol,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identificare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alin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(2) </w:t>
      </w:r>
      <w:proofErr w:type="spellStart"/>
      <w:proofErr w:type="gram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proofErr w:type="gram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impunerii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conform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prevederilor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35"/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"lnk:CFI%20PRL%201000000%202003%200" \o "Codul Fiscal 2003 - Parlamentul României" </w:instrTex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Start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Codului</w:t>
      </w:r>
      <w:proofErr w:type="spellEnd"/>
      <w:r w:rsidRPr="0017552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 fiscal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cazul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constată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existenţa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veniturilor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cărora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datorează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contribuţia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sociale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sănătate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6" w:name="tree#1992"/>
      <w:r w:rsidRPr="0017552E">
        <w:rPr>
          <w:rFonts w:ascii="Arial" w:eastAsia="Times New Roman" w:hAnsi="Arial" w:cs="Arial"/>
          <w:b/>
          <w:bCs/>
          <w:color w:val="009500"/>
          <w:sz w:val="20"/>
          <w:szCs w:val="20"/>
        </w:rPr>
        <w:t>   Art. 233. -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37" w:name="tree#1993"/>
      <w:bookmarkEnd w:id="36"/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Tarifele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hoteliere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însoţeşte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copilul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internat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vârstă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până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la 3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ani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precum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însoţitorul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persoanei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cu handicap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grav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internate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suportă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casele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medicul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consideră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necesară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prezenţa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perioadă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determinată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7552E" w:rsidRPr="0017552E" w:rsidRDefault="0017552E" w:rsidP="001755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8" w:name="ref#A0"/>
      <w:bookmarkStart w:id="39" w:name="tree#1994"/>
      <w:bookmarkEnd w:id="37"/>
      <w:bookmarkEnd w:id="38"/>
      <w:r w:rsidRPr="0017552E">
        <w:rPr>
          <w:rFonts w:ascii="Arial" w:eastAsia="Times New Roman" w:hAnsi="Arial" w:cs="Arial"/>
          <w:b/>
          <w:bCs/>
          <w:color w:val="009500"/>
          <w:sz w:val="20"/>
          <w:szCs w:val="20"/>
        </w:rPr>
        <w:t>   Art. 234. -</w:t>
      </w:r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40" w:name="ref#"/>
      <w:bookmarkStart w:id="41" w:name="tree#1995"/>
      <w:bookmarkEnd w:id="39"/>
      <w:bookmarkEnd w:id="40"/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Fiecare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a fi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informat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cel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puţin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dată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an,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casele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asigurări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serviciilor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de care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precum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7552E">
        <w:rPr>
          <w:rFonts w:ascii="Arial" w:eastAsia="Times New Roman" w:hAnsi="Arial" w:cs="Arial"/>
          <w:color w:val="000000"/>
          <w:sz w:val="20"/>
          <w:szCs w:val="20"/>
        </w:rPr>
        <w:t>obligaţiilor</w:t>
      </w:r>
      <w:proofErr w:type="spellEnd"/>
      <w:r w:rsidRPr="0017552E">
        <w:rPr>
          <w:rFonts w:ascii="Arial" w:eastAsia="Times New Roman" w:hAnsi="Arial" w:cs="Arial"/>
          <w:color w:val="000000"/>
          <w:sz w:val="20"/>
          <w:szCs w:val="20"/>
        </w:rPr>
        <w:t xml:space="preserve"> sale. </w:t>
      </w:r>
      <w:bookmarkEnd w:id="41"/>
    </w:p>
    <w:p w:rsidR="005F6893" w:rsidRDefault="005F6893" w:rsidP="0017552E">
      <w:pPr>
        <w:jc w:val="both"/>
      </w:pPr>
    </w:p>
    <w:sectPr w:rsidR="005F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2E"/>
    <w:rsid w:val="0017552E"/>
    <w:rsid w:val="005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LEG%20PRL%20360%202002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2017-07-27T10:19:00Z</dcterms:created>
  <dcterms:modified xsi:type="dcterms:W3CDTF">2017-07-27T10:21:00Z</dcterms:modified>
</cp:coreProperties>
</file>